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2B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737032A2" w14:textId="77777777" w:rsidR="00A8548D" w:rsidRDefault="009B62FF" w:rsidP="003E0C23">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eastAsia="en-GB"/>
        </w:rPr>
        <w:drawing>
          <wp:anchor distT="0" distB="0" distL="114300" distR="114300" simplePos="0" relativeHeight="251658240" behindDoc="0" locked="0" layoutInCell="1" allowOverlap="1" wp14:anchorId="12B90CDE" wp14:editId="602F4A88">
            <wp:simplePos x="0" y="0"/>
            <wp:positionH relativeFrom="column">
              <wp:posOffset>2644</wp:posOffset>
            </wp:positionH>
            <wp:positionV relativeFrom="paragraph">
              <wp:posOffset>1249</wp:posOffset>
            </wp:positionV>
            <wp:extent cx="1358386" cy="548974"/>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1" cstate="print"/>
                    <a:stretch>
                      <a:fillRect/>
                    </a:stretch>
                  </pic:blipFill>
                  <pic:spPr>
                    <a:xfrm>
                      <a:off x="0" y="0"/>
                      <a:ext cx="1358386" cy="548974"/>
                    </a:xfrm>
                    <a:prstGeom prst="rect">
                      <a:avLst/>
                    </a:prstGeom>
                  </pic:spPr>
                </pic:pic>
              </a:graphicData>
            </a:graphic>
          </wp:anchor>
        </w:drawing>
      </w:r>
    </w:p>
    <w:p w14:paraId="3253703B"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460566F8"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84C0246" w14:textId="77777777"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77000A86"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57A0A160"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1349B7" w14:paraId="07FC7476" w14:textId="77777777" w:rsidTr="00E4761F">
        <w:tc>
          <w:tcPr>
            <w:tcW w:w="1547" w:type="dxa"/>
            <w:vMerge w:val="restart"/>
            <w:shd w:val="clear" w:color="auto" w:fill="D5DCE4" w:themeFill="text2" w:themeFillTint="33"/>
            <w:vAlign w:val="center"/>
          </w:tcPr>
          <w:p w14:paraId="485BD2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5B647B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CE973D2"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630D184D"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086A3A1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E4317FC"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1EFC0F0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6D8D8A8"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01D5D" w14:paraId="3B9904E8" w14:textId="77777777" w:rsidTr="00E4761F">
        <w:tc>
          <w:tcPr>
            <w:tcW w:w="1547" w:type="dxa"/>
            <w:vMerge/>
            <w:shd w:val="clear" w:color="auto" w:fill="D5DCE4" w:themeFill="text2" w:themeFillTint="33"/>
            <w:vAlign w:val="bottom"/>
          </w:tcPr>
          <w:p w14:paraId="7B0C74A8"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27E44E2A" w14:textId="5E578EF6" w:rsidR="00E4761F" w:rsidRPr="00E26F81"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417" w:type="dxa"/>
          </w:tcPr>
          <w:p w14:paraId="7C9761EB" w14:textId="0F4B7F19" w:rsidR="00E4761F" w:rsidRPr="00E26F81"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56946B35" w14:textId="082F07D1" w:rsidR="00E4761F" w:rsidRPr="00E26F81"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16E1AD65" w14:textId="54422269" w:rsidR="00E4761F" w:rsidRPr="00E26F81"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6AC5A6B3" w14:textId="04EB5C57" w:rsidR="00E4761F" w:rsidRPr="00E26F81" w:rsidRDefault="00E4761F" w:rsidP="005F66E7">
            <w:pPr>
              <w:spacing w:after="120" w:line="240" w:lineRule="auto"/>
              <w:ind w:right="28"/>
              <w:jc w:val="center"/>
              <w:rPr>
                <w:rFonts w:ascii="Verdana" w:eastAsia="Times New Roman" w:hAnsi="Verdana" w:cs="Arial"/>
                <w:bCs/>
                <w:color w:val="002060"/>
                <w:sz w:val="20"/>
                <w:szCs w:val="20"/>
                <w:lang w:val="en-GB"/>
              </w:rPr>
            </w:pPr>
          </w:p>
        </w:tc>
      </w:tr>
      <w:tr w:rsidR="00101D5D" w14:paraId="35336757" w14:textId="77777777" w:rsidTr="00E4761F">
        <w:tc>
          <w:tcPr>
            <w:tcW w:w="1547" w:type="dxa"/>
            <w:vMerge/>
            <w:shd w:val="clear" w:color="auto" w:fill="D5DCE4" w:themeFill="text2" w:themeFillTint="33"/>
            <w:vAlign w:val="bottom"/>
          </w:tcPr>
          <w:p w14:paraId="785E171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A7B86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959F6FF"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6B657B96"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F43195D"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C30BF9B"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101D5D" w14:paraId="6B4C2A5D" w14:textId="77777777" w:rsidTr="00E4761F">
        <w:tc>
          <w:tcPr>
            <w:tcW w:w="1547" w:type="dxa"/>
            <w:vMerge/>
            <w:shd w:val="clear" w:color="auto" w:fill="D5DCE4" w:themeFill="text2" w:themeFillTint="33"/>
            <w:vAlign w:val="bottom"/>
          </w:tcPr>
          <w:p w14:paraId="101039C4"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5984E0C7" w14:textId="532A6295"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9B0248F" w14:textId="715C4D8C" w:rsidR="00E4761F" w:rsidRPr="00E26F81"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55775BDD" w14:textId="0A8026C7" w:rsidR="00E4761F" w:rsidRPr="00E26F81"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5F0C05EC" w14:textId="60146C00" w:rsidR="00E4761F" w:rsidRPr="00E26F81" w:rsidRDefault="00E4761F" w:rsidP="00E4761F">
            <w:pPr>
              <w:spacing w:after="120" w:line="240" w:lineRule="auto"/>
              <w:ind w:right="28"/>
              <w:jc w:val="center"/>
              <w:rPr>
                <w:rFonts w:ascii="Verdana" w:eastAsia="Times New Roman" w:hAnsi="Verdana" w:cs="Arial"/>
                <w:bCs/>
                <w:color w:val="002060"/>
                <w:sz w:val="20"/>
                <w:szCs w:val="20"/>
                <w:lang w:val="en-GB"/>
              </w:rPr>
            </w:pPr>
          </w:p>
        </w:tc>
      </w:tr>
      <w:tr w:rsidR="00101D5D" w14:paraId="3EF0C7D9" w14:textId="77777777" w:rsidTr="00555F03">
        <w:tc>
          <w:tcPr>
            <w:tcW w:w="1547" w:type="dxa"/>
            <w:vMerge w:val="restart"/>
            <w:shd w:val="clear" w:color="auto" w:fill="D5DCE4" w:themeFill="text2" w:themeFillTint="33"/>
            <w:vAlign w:val="bottom"/>
          </w:tcPr>
          <w:p w14:paraId="640226B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1955C0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19F969C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05C490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3F6A08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61C5ABA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75625B0"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101D5D" w14:paraId="49B86F0C" w14:textId="77777777" w:rsidTr="00555F03">
        <w:tc>
          <w:tcPr>
            <w:tcW w:w="1547" w:type="dxa"/>
            <w:vMerge/>
            <w:shd w:val="clear" w:color="auto" w:fill="D5DCE4" w:themeFill="text2" w:themeFillTint="33"/>
            <w:vAlign w:val="bottom"/>
          </w:tcPr>
          <w:p w14:paraId="362FB3DD"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5F13EB91" w14:textId="2EC1007A" w:rsidR="00E4761F" w:rsidRPr="00E26F81" w:rsidRDefault="00B2276E" w:rsidP="00E4761F">
            <w:pPr>
              <w:spacing w:after="120" w:line="240" w:lineRule="auto"/>
              <w:ind w:right="28"/>
              <w:jc w:val="center"/>
              <w:rPr>
                <w:rFonts w:ascii="Verdana" w:eastAsia="Times New Roman" w:hAnsi="Verdana" w:cs="Arial"/>
                <w:bCs/>
                <w:color w:val="002060"/>
                <w:sz w:val="20"/>
                <w:szCs w:val="20"/>
                <w:lang w:val="en-GB"/>
              </w:rPr>
            </w:pPr>
            <w:r w:rsidRPr="00E26F81">
              <w:rPr>
                <w:rFonts w:ascii="Verdana" w:eastAsia="Times New Roman" w:hAnsi="Verdana" w:cs="Arial"/>
                <w:bCs/>
                <w:color w:val="002060"/>
                <w:sz w:val="20"/>
                <w:szCs w:val="20"/>
                <w:lang w:val="en-GB"/>
              </w:rPr>
              <w:t>Technical un</w:t>
            </w:r>
            <w:r w:rsidR="001349B7" w:rsidRPr="00E26F81">
              <w:rPr>
                <w:rFonts w:ascii="Verdana" w:eastAsia="Times New Roman" w:hAnsi="Verdana" w:cs="Arial"/>
                <w:bCs/>
                <w:color w:val="002060"/>
                <w:sz w:val="20"/>
                <w:szCs w:val="20"/>
                <w:lang w:val="en-GB"/>
              </w:rPr>
              <w:t>iv</w:t>
            </w:r>
            <w:r w:rsidRPr="00E26F81">
              <w:rPr>
                <w:rFonts w:ascii="Verdana" w:eastAsia="Times New Roman" w:hAnsi="Verdana" w:cs="Arial"/>
                <w:bCs/>
                <w:color w:val="002060"/>
                <w:sz w:val="20"/>
                <w:szCs w:val="20"/>
                <w:lang w:val="en-GB"/>
              </w:rPr>
              <w:t>er</w:t>
            </w:r>
            <w:r w:rsidR="002B1441" w:rsidRPr="00E26F81">
              <w:rPr>
                <w:rFonts w:ascii="Verdana" w:eastAsia="Times New Roman" w:hAnsi="Verdana" w:cs="Arial"/>
                <w:bCs/>
                <w:color w:val="002060"/>
                <w:sz w:val="20"/>
                <w:szCs w:val="20"/>
                <w:lang w:val="en-GB"/>
              </w:rPr>
              <w:t>si</w:t>
            </w:r>
            <w:r w:rsidRPr="00E26F81">
              <w:rPr>
                <w:rFonts w:ascii="Verdana" w:eastAsia="Times New Roman" w:hAnsi="Verdana" w:cs="Arial"/>
                <w:bCs/>
                <w:color w:val="002060"/>
                <w:sz w:val="20"/>
                <w:szCs w:val="20"/>
                <w:lang w:val="en-GB"/>
              </w:rPr>
              <w:t xml:space="preserve">ty in </w:t>
            </w:r>
            <w:proofErr w:type="spellStart"/>
            <w:r w:rsidRPr="00E26F81">
              <w:rPr>
                <w:rFonts w:ascii="Verdana" w:eastAsia="Times New Roman" w:hAnsi="Verdana" w:cs="Arial"/>
                <w:bCs/>
                <w:color w:val="002060"/>
                <w:sz w:val="20"/>
                <w:szCs w:val="20"/>
                <w:lang w:val="en-GB"/>
              </w:rPr>
              <w:t>Zvolen</w:t>
            </w:r>
            <w:proofErr w:type="spellEnd"/>
          </w:p>
        </w:tc>
        <w:tc>
          <w:tcPr>
            <w:tcW w:w="1949" w:type="dxa"/>
            <w:gridSpan w:val="2"/>
          </w:tcPr>
          <w:p w14:paraId="1A41020E" w14:textId="7D17E8F8" w:rsidR="00B2276E" w:rsidRPr="00E26F81" w:rsidRDefault="00B2276E" w:rsidP="00B2276E">
            <w:pPr>
              <w:spacing w:after="120" w:line="240" w:lineRule="auto"/>
              <w:ind w:right="28"/>
              <w:jc w:val="center"/>
              <w:rPr>
                <w:rFonts w:ascii="Verdana" w:eastAsia="Times New Roman" w:hAnsi="Verdana" w:cs="Arial"/>
                <w:bCs/>
                <w:color w:val="002060"/>
                <w:sz w:val="20"/>
                <w:szCs w:val="20"/>
                <w:lang w:val="en-GB"/>
              </w:rPr>
            </w:pPr>
          </w:p>
        </w:tc>
        <w:tc>
          <w:tcPr>
            <w:tcW w:w="1251" w:type="dxa"/>
          </w:tcPr>
          <w:p w14:paraId="4AF88789" w14:textId="1485FA15" w:rsidR="00E4761F" w:rsidRPr="00E26F81" w:rsidRDefault="00400725" w:rsidP="00E4761F">
            <w:pPr>
              <w:spacing w:after="120" w:line="240" w:lineRule="auto"/>
              <w:ind w:right="28"/>
              <w:jc w:val="center"/>
              <w:rPr>
                <w:rFonts w:ascii="Verdana" w:eastAsia="Times New Roman" w:hAnsi="Verdana" w:cs="Arial"/>
                <w:bCs/>
                <w:color w:val="002060"/>
                <w:sz w:val="20"/>
                <w:szCs w:val="20"/>
                <w:lang w:val="en-GB"/>
              </w:rPr>
            </w:pPr>
            <w:r w:rsidRPr="00E26F81">
              <w:rPr>
                <w:rFonts w:ascii="Verdana" w:eastAsia="Times New Roman" w:hAnsi="Verdana" w:cs="Arial"/>
                <w:bCs/>
                <w:color w:val="002060"/>
                <w:sz w:val="20"/>
                <w:szCs w:val="20"/>
                <w:lang w:val="en-GB"/>
              </w:rPr>
              <w:t>SK ZVOLEN 01</w:t>
            </w:r>
          </w:p>
        </w:tc>
        <w:tc>
          <w:tcPr>
            <w:tcW w:w="1619" w:type="dxa"/>
          </w:tcPr>
          <w:p w14:paraId="3B74724E" w14:textId="08650CDA" w:rsidR="00E4761F" w:rsidRPr="00E26F81" w:rsidRDefault="00B2276E" w:rsidP="00E4761F">
            <w:pPr>
              <w:spacing w:after="120" w:line="240" w:lineRule="auto"/>
              <w:ind w:right="28"/>
              <w:jc w:val="center"/>
              <w:rPr>
                <w:rFonts w:ascii="Verdana" w:eastAsia="Times New Roman" w:hAnsi="Verdana" w:cs="Arial"/>
                <w:bCs/>
                <w:color w:val="002060"/>
                <w:sz w:val="20"/>
                <w:szCs w:val="20"/>
                <w:lang w:val="en-GB"/>
              </w:rPr>
            </w:pPr>
            <w:r w:rsidRPr="00E26F81">
              <w:rPr>
                <w:rFonts w:ascii="Verdana" w:eastAsia="Times New Roman" w:hAnsi="Verdana" w:cs="Arial"/>
                <w:bCs/>
                <w:color w:val="002060"/>
                <w:sz w:val="20"/>
                <w:szCs w:val="20"/>
                <w:lang w:val="en-GB"/>
              </w:rPr>
              <w:t>Slovak republic</w:t>
            </w:r>
          </w:p>
        </w:tc>
        <w:tc>
          <w:tcPr>
            <w:tcW w:w="3260" w:type="dxa"/>
            <w:gridSpan w:val="2"/>
          </w:tcPr>
          <w:p w14:paraId="139899AD" w14:textId="77777777" w:rsidR="00E4761F" w:rsidRPr="00E26F81" w:rsidRDefault="00101D5D" w:rsidP="00E4761F">
            <w:pPr>
              <w:spacing w:after="120" w:line="240" w:lineRule="auto"/>
              <w:ind w:right="28"/>
              <w:jc w:val="center"/>
              <w:rPr>
                <w:rFonts w:ascii="Verdana" w:eastAsia="Times New Roman" w:hAnsi="Verdana" w:cs="Arial"/>
                <w:bCs/>
                <w:color w:val="002060"/>
                <w:sz w:val="20"/>
                <w:szCs w:val="20"/>
                <w:lang w:val="en-GB"/>
              </w:rPr>
            </w:pPr>
            <w:r w:rsidRPr="00E26F81">
              <w:rPr>
                <w:rFonts w:ascii="Verdana" w:eastAsia="Times New Roman" w:hAnsi="Verdana" w:cs="Arial"/>
                <w:bCs/>
                <w:color w:val="002060"/>
                <w:sz w:val="20"/>
                <w:szCs w:val="20"/>
                <w:lang w:val="en-GB"/>
              </w:rPr>
              <w:t xml:space="preserve">Mariana </w:t>
            </w:r>
            <w:proofErr w:type="spellStart"/>
            <w:r w:rsidRPr="00E26F81">
              <w:rPr>
                <w:rFonts w:ascii="Verdana" w:eastAsia="Times New Roman" w:hAnsi="Verdana" w:cs="Arial"/>
                <w:bCs/>
                <w:color w:val="002060"/>
                <w:sz w:val="20"/>
                <w:szCs w:val="20"/>
                <w:lang w:val="en-GB"/>
              </w:rPr>
              <w:t>Krivosikova</w:t>
            </w:r>
            <w:proofErr w:type="spellEnd"/>
          </w:p>
          <w:p w14:paraId="7F88E53D" w14:textId="15EDE369" w:rsidR="00101D5D" w:rsidRPr="00E26F81" w:rsidRDefault="003C5E50" w:rsidP="00E4761F">
            <w:pPr>
              <w:spacing w:after="120" w:line="240" w:lineRule="auto"/>
              <w:ind w:right="28"/>
              <w:jc w:val="center"/>
              <w:rPr>
                <w:rFonts w:ascii="Verdana" w:eastAsia="Times New Roman" w:hAnsi="Verdana" w:cs="Arial"/>
                <w:bCs/>
                <w:color w:val="002060"/>
                <w:sz w:val="20"/>
                <w:szCs w:val="20"/>
                <w:lang w:val="en-GB"/>
              </w:rPr>
            </w:pPr>
            <w:hyperlink r:id="rId12" w:history="1">
              <w:r w:rsidR="00101D5D" w:rsidRPr="00E26F81">
                <w:rPr>
                  <w:rStyle w:val="Hyperlink"/>
                  <w:rFonts w:ascii="Verdana" w:eastAsia="Times New Roman" w:hAnsi="Verdana" w:cs="Arial"/>
                  <w:bCs/>
                  <w:sz w:val="20"/>
                  <w:szCs w:val="20"/>
                  <w:lang w:val="en-GB"/>
                </w:rPr>
                <w:t>krivosikova@tuzvo.sk</w:t>
              </w:r>
            </w:hyperlink>
          </w:p>
          <w:p w14:paraId="7D51E483" w14:textId="283E02F4" w:rsidR="00101D5D" w:rsidRPr="00E26F81" w:rsidRDefault="00101D5D" w:rsidP="00E4761F">
            <w:pPr>
              <w:spacing w:after="120" w:line="240" w:lineRule="auto"/>
              <w:ind w:right="28"/>
              <w:jc w:val="center"/>
              <w:rPr>
                <w:rFonts w:ascii="Verdana" w:eastAsia="Times New Roman" w:hAnsi="Verdana" w:cs="Arial"/>
                <w:bCs/>
                <w:color w:val="002060"/>
                <w:sz w:val="20"/>
                <w:szCs w:val="20"/>
                <w:lang w:val="en-GB"/>
              </w:rPr>
            </w:pPr>
            <w:r w:rsidRPr="00E26F81">
              <w:rPr>
                <w:rFonts w:ascii="Verdana" w:eastAsia="Times New Roman" w:hAnsi="Verdana" w:cs="Arial"/>
                <w:bCs/>
                <w:color w:val="002060"/>
                <w:sz w:val="20"/>
                <w:szCs w:val="20"/>
                <w:lang w:val="en-GB"/>
              </w:rPr>
              <w:t>+421455206109</w:t>
            </w:r>
          </w:p>
        </w:tc>
      </w:tr>
      <w:tr w:rsidR="00101D5D" w14:paraId="380ADB95" w14:textId="77777777" w:rsidTr="00555F03">
        <w:tc>
          <w:tcPr>
            <w:tcW w:w="1547" w:type="dxa"/>
            <w:vMerge w:val="restart"/>
            <w:shd w:val="clear" w:color="auto" w:fill="D5DCE4" w:themeFill="text2" w:themeFillTint="33"/>
            <w:vAlign w:val="bottom"/>
          </w:tcPr>
          <w:p w14:paraId="43890A2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B568DF8"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4291583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5CF1BF7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14C4799" w14:textId="77777777"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266397F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5C9C15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101D5D" w14:paraId="10DA0EAB" w14:textId="77777777" w:rsidTr="00555F03">
        <w:tc>
          <w:tcPr>
            <w:tcW w:w="1547" w:type="dxa"/>
            <w:vMerge/>
            <w:shd w:val="clear" w:color="auto" w:fill="D5DCE4" w:themeFill="text2" w:themeFillTint="33"/>
            <w:vAlign w:val="bottom"/>
          </w:tcPr>
          <w:p w14:paraId="1396A6B8"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5868E2E" w14:textId="6573214F" w:rsidR="00E4761F" w:rsidRPr="00E26F81"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949" w:type="dxa"/>
            <w:gridSpan w:val="2"/>
          </w:tcPr>
          <w:p w14:paraId="66092A10" w14:textId="0AAB373F" w:rsidR="00E4761F" w:rsidRPr="00E26F81"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251" w:type="dxa"/>
          </w:tcPr>
          <w:p w14:paraId="089FA03A" w14:textId="6DAC6BA9" w:rsidR="00101D5D" w:rsidRPr="00E26F81" w:rsidRDefault="00101D5D" w:rsidP="00101D5D">
            <w:pPr>
              <w:spacing w:after="120" w:line="240" w:lineRule="auto"/>
              <w:ind w:right="28"/>
              <w:jc w:val="center"/>
              <w:rPr>
                <w:rFonts w:ascii="Verdana" w:eastAsia="Times New Roman" w:hAnsi="Verdana" w:cs="Arial"/>
                <w:bCs/>
                <w:color w:val="002060"/>
                <w:sz w:val="20"/>
                <w:szCs w:val="20"/>
                <w:lang w:val="en-GB"/>
              </w:rPr>
            </w:pPr>
          </w:p>
        </w:tc>
        <w:tc>
          <w:tcPr>
            <w:tcW w:w="1619" w:type="dxa"/>
          </w:tcPr>
          <w:p w14:paraId="6ED28093" w14:textId="6410A590" w:rsidR="00E4761F" w:rsidRPr="00E26F81"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3260" w:type="dxa"/>
            <w:gridSpan w:val="2"/>
          </w:tcPr>
          <w:p w14:paraId="1C9B6763" w14:textId="19516EB4" w:rsidR="002B1441" w:rsidRPr="00E26F81" w:rsidRDefault="002B1441" w:rsidP="00E4761F">
            <w:pPr>
              <w:spacing w:after="120" w:line="240" w:lineRule="auto"/>
              <w:ind w:right="28"/>
              <w:jc w:val="center"/>
              <w:rPr>
                <w:rFonts w:ascii="Verdana" w:eastAsia="Times New Roman" w:hAnsi="Verdana" w:cs="Arial"/>
                <w:bCs/>
                <w:color w:val="002060"/>
                <w:sz w:val="20"/>
                <w:szCs w:val="20"/>
                <w:lang w:val="en-GB"/>
              </w:rPr>
            </w:pPr>
          </w:p>
        </w:tc>
      </w:tr>
      <w:tr w:rsidR="009B606A" w14:paraId="5400AC54" w14:textId="77777777" w:rsidTr="00446484">
        <w:tc>
          <w:tcPr>
            <w:tcW w:w="11199" w:type="dxa"/>
            <w:gridSpan w:val="8"/>
            <w:shd w:val="clear" w:color="auto" w:fill="D5DCE4" w:themeFill="text2" w:themeFillTint="33"/>
            <w:vAlign w:val="bottom"/>
          </w:tcPr>
          <w:p w14:paraId="18717776" w14:textId="53A96C53"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B2276E">
              <w:rPr>
                <w:rFonts w:ascii="Calibri" w:eastAsia="Times New Roman" w:hAnsi="Calibri" w:cs="Times New Roman"/>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442273738"/>
                  </w:sdtPr>
                  <w:sdtContent>
                    <w:r w:rsidR="003C5E50" w:rsidRPr="002A00C3">
                      <w:rPr>
                        <w:rFonts w:ascii="MS Gothic" w:eastAsia="MS Gothic" w:hAnsi="MS Gothic" w:cs="Times New Roman" w:hint="eastAsia"/>
                        <w:iCs/>
                        <w:color w:val="000000"/>
                        <w:sz w:val="12"/>
                        <w:szCs w:val="16"/>
                        <w:lang w:val="en-GB" w:eastAsia="en-GB"/>
                      </w:rPr>
                      <w:t>☐</w:t>
                    </w:r>
                  </w:sdtContent>
                </w:sdt>
                <w:r w:rsidR="003C5E50">
                  <w:rPr>
                    <w:rFonts w:ascii="MS Gothic" w:eastAsia="MS Gothic" w:hAnsi="MS Gothic" w:cs="Times New Roman" w:hint="eastAsia"/>
                    <w:iCs/>
                    <w:color w:val="000000"/>
                    <w:sz w:val="12"/>
                    <w:szCs w:val="16"/>
                    <w:lang w:val="en-GB" w:eastAsia="en-GB"/>
                  </w:rPr>
                  <w:t xml:space="preserve"> </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8DFF0C7"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0224C91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6F2E9BC3" w14:textId="77777777" w:rsidTr="00DD2CC6">
        <w:tc>
          <w:tcPr>
            <w:tcW w:w="6380" w:type="dxa"/>
            <w:shd w:val="clear" w:color="auto" w:fill="D5DCE4" w:themeFill="text2" w:themeFillTint="33"/>
          </w:tcPr>
          <w:p w14:paraId="5843B6DF"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38CB6D58"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6C986F9C" w14:textId="77777777" w:rsidTr="00236998">
        <w:trPr>
          <w:trHeight w:val="1173"/>
        </w:trPr>
        <w:tc>
          <w:tcPr>
            <w:tcW w:w="6380" w:type="dxa"/>
          </w:tcPr>
          <w:p w14:paraId="6A1A7D07"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153B52AF"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1FDFAE96"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14:paraId="63396E02" w14:textId="2FDDD385"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sdt>
                  <w:sdtPr>
                    <w:rPr>
                      <w:rFonts w:ascii="Calibri" w:eastAsia="Times New Roman" w:hAnsi="Calibri" w:cs="Times New Roman"/>
                      <w:iCs/>
                      <w:color w:val="000000"/>
                      <w:sz w:val="12"/>
                      <w:szCs w:val="16"/>
                      <w:lang w:val="en-GB" w:eastAsia="en-GB"/>
                    </w:rPr>
                    <w:id w:val="-1418163183"/>
                  </w:sdtPr>
                  <w:sdtContent>
                    <w:r w:rsidR="003C5E50" w:rsidRPr="002A00C3">
                      <w:rPr>
                        <w:rFonts w:ascii="MS Gothic" w:eastAsia="MS Gothic" w:hAnsi="MS Gothic" w:cs="Times New Roman" w:hint="eastAsia"/>
                        <w:iCs/>
                        <w:color w:val="000000"/>
                        <w:sz w:val="12"/>
                        <w:szCs w:val="16"/>
                        <w:lang w:val="en-GB" w:eastAsia="en-GB"/>
                      </w:rPr>
                      <w:t>☐</w:t>
                    </w:r>
                  </w:sdtContent>
                </w:sdt>
                <w:r w:rsidR="003C5E50">
                  <w:rPr>
                    <w:rFonts w:ascii="MS Gothic" w:eastAsia="MS Gothic" w:hAnsi="MS Gothic" w:cs="Times New Roman" w:hint="eastAsia"/>
                    <w:iCs/>
                    <w:color w:val="000000"/>
                    <w:sz w:val="12"/>
                    <w:szCs w:val="16"/>
                    <w:lang w:val="en-GB" w:eastAsia="en-GB"/>
                  </w:rPr>
                  <w:t xml:space="preserve"> </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sdt>
                  <w:sdtPr>
                    <w:rPr>
                      <w:rFonts w:ascii="MS Gothic" w:eastAsia="MS Gothic" w:hAnsi="MS Gothic" w:cs="Times New Roman"/>
                      <w:iCs/>
                      <w:color w:val="000000"/>
                      <w:sz w:val="12"/>
                      <w:szCs w:val="16"/>
                      <w:lang w:val="en-GB" w:eastAsia="en-GB"/>
                    </w:rPr>
                    <w:id w:val="615024405"/>
                  </w:sdtPr>
                  <w:sdtEndPr/>
                  <w:sdtContent>
                    <w:r w:rsidR="00E26F81" w:rsidRPr="008667EB">
                      <w:rPr>
                        <w:rFonts w:ascii="MS Gothic" w:eastAsia="MS Gothic" w:hAnsi="MS Gothic" w:cs="Times New Roman" w:hint="eastAsia"/>
                        <w:iCs/>
                        <w:color w:val="000000"/>
                        <w:sz w:val="12"/>
                        <w:szCs w:val="16"/>
                        <w:lang w:val="en-GB" w:eastAsia="en-GB"/>
                      </w:rPr>
                      <w:t>☐</w:t>
                    </w:r>
                  </w:sdtContent>
                </w:sdt>
              </w:sdtContent>
            </w:sdt>
          </w:p>
        </w:tc>
        <w:tc>
          <w:tcPr>
            <w:tcW w:w="4819" w:type="dxa"/>
          </w:tcPr>
          <w:p w14:paraId="2D3E2170"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43958FF1" w14:textId="25AD9069"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p>
          <w:p w14:paraId="5BBFEA9D" w14:textId="0E89C0F9"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w:t>
            </w:r>
            <w:r w:rsidR="00B2276E">
              <w:rPr>
                <w:rFonts w:ascii="Calibri" w:eastAsia="Times New Roman" w:hAnsi="Calibri" w:cs="Times New Roman"/>
                <w:bCs/>
                <w:iCs/>
                <w:color w:val="000000"/>
                <w:sz w:val="16"/>
                <w:szCs w:val="16"/>
                <w:lang w:val="en-GB" w:eastAsia="en-GB"/>
              </w:rPr>
              <w:t xml:space="preserve">  </w:t>
            </w:r>
          </w:p>
        </w:tc>
      </w:tr>
    </w:tbl>
    <w:p w14:paraId="2EFEA710"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875E59D"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DF66884"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W w:w="20560" w:type="dxa"/>
        <w:tblInd w:w="392" w:type="dxa"/>
        <w:tblLayout w:type="fixed"/>
        <w:tblLook w:val="04A0" w:firstRow="1" w:lastRow="0" w:firstColumn="1" w:lastColumn="0" w:noHBand="0" w:noVBand="1"/>
      </w:tblPr>
      <w:tblGrid>
        <w:gridCol w:w="10488"/>
        <w:gridCol w:w="1130"/>
        <w:gridCol w:w="1843"/>
        <w:gridCol w:w="992"/>
        <w:gridCol w:w="1080"/>
        <w:gridCol w:w="845"/>
        <w:gridCol w:w="1394"/>
        <w:gridCol w:w="1532"/>
        <w:gridCol w:w="1256"/>
      </w:tblGrid>
      <w:tr w:rsidR="00AB5240" w:rsidRPr="00226134" w14:paraId="492925C3" w14:textId="77777777" w:rsidTr="00AB5240">
        <w:trPr>
          <w:gridAfter w:val="8"/>
          <w:wAfter w:w="10072" w:type="dxa"/>
          <w:trHeight w:val="125"/>
        </w:trPr>
        <w:tc>
          <w:tcPr>
            <w:tcW w:w="10488" w:type="dxa"/>
            <w:tcBorders>
              <w:top w:val="double" w:sz="4" w:space="0" w:color="auto"/>
              <w:left w:val="double" w:sz="6" w:space="0" w:color="auto"/>
              <w:bottom w:val="double" w:sz="6" w:space="0" w:color="auto"/>
              <w:right w:val="double" w:sz="6" w:space="0" w:color="000000"/>
            </w:tcBorders>
            <w:noWrap/>
          </w:tcPr>
          <w:p w14:paraId="287729FF" w14:textId="08185345" w:rsidR="00AB5240" w:rsidRDefault="00AB5240" w:rsidP="00697222">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83F37C3" w14:textId="688434E7" w:rsidR="00E27099" w:rsidRDefault="00E27099" w:rsidP="00697222">
            <w:pPr>
              <w:spacing w:after="0"/>
              <w:ind w:right="-993"/>
              <w:rPr>
                <w:rFonts w:cs="Calibri"/>
                <w:b/>
                <w:sz w:val="16"/>
                <w:szCs w:val="16"/>
                <w:lang w:val="en-GB"/>
              </w:rPr>
            </w:pPr>
            <w:r>
              <w:rPr>
                <w:rFonts w:cs="Calibri"/>
                <w:b/>
                <w:sz w:val="16"/>
                <w:szCs w:val="16"/>
                <w:lang w:val="en-GB"/>
              </w:rPr>
              <w:t>The program will consist of following workshops held during the period of traineeship:</w:t>
            </w:r>
          </w:p>
          <w:p w14:paraId="621B3766" w14:textId="6C08718D" w:rsidR="003C5E50" w:rsidRPr="00226134" w:rsidRDefault="003C5E50" w:rsidP="003C5E50">
            <w:pPr>
              <w:spacing w:after="0"/>
              <w:ind w:right="-993"/>
              <w:rPr>
                <w:rFonts w:cs="Arial"/>
                <w:sz w:val="16"/>
                <w:szCs w:val="16"/>
                <w:lang w:val="en-GB"/>
              </w:rPr>
            </w:pPr>
          </w:p>
        </w:tc>
      </w:tr>
      <w:tr w:rsidR="00AB5240" w:rsidRPr="00226134" w14:paraId="23EB8532"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4A9A7E49" w14:textId="12DB4A34" w:rsidR="00AB5240" w:rsidRPr="00226134" w:rsidRDefault="00AB5240" w:rsidP="00421EFB">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2"/>
            </w:r>
            <w:r>
              <w:rPr>
                <w:rFonts w:cs="Calibri"/>
                <w:b/>
                <w:sz w:val="16"/>
                <w:szCs w:val="16"/>
                <w:lang w:val="en-GB"/>
              </w:rPr>
              <w:t xml:space="preserve">: </w:t>
            </w:r>
            <w:proofErr w:type="gramStart"/>
            <w:r w:rsidRPr="00C92405">
              <w:rPr>
                <w:rFonts w:cs="Calibri"/>
                <w:sz w:val="16"/>
                <w:szCs w:val="16"/>
                <w:lang w:val="en-GB"/>
              </w:rPr>
              <w:t>Yes</w:t>
            </w:r>
            <w:proofErr w:type="gramEnd"/>
            <w:r w:rsidRPr="00C92405">
              <w:rPr>
                <w:rFonts w:cs="Calibri"/>
                <w:sz w:val="16"/>
                <w:szCs w:val="16"/>
                <w:lang w:val="en-GB"/>
              </w:rPr>
              <w:t xml:space="preserve"> </w:t>
            </w:r>
            <w:r w:rsidR="00400725">
              <w:rPr>
                <w:rFonts w:ascii="MS Gothic" w:eastAsia="MS Gothic" w:hAnsi="MS Gothic" w:cs="MS Gothic" w:hint="eastAsia"/>
                <w:sz w:val="16"/>
                <w:szCs w:val="16"/>
                <w:lang w:val="en-GB"/>
              </w:rPr>
              <w:t>x</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B5240" w:rsidRPr="00226134" w14:paraId="389CD3D4"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1D619E5E" w14:textId="77777777" w:rsidR="00AB5240" w:rsidRDefault="00AB5240" w:rsidP="00421E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70B66D9C" w14:textId="77777777" w:rsidR="00AB5240" w:rsidRDefault="00AB5240" w:rsidP="003C5E50">
            <w:pPr>
              <w:spacing w:after="0"/>
              <w:ind w:right="-992"/>
              <w:rPr>
                <w:rFonts w:cs="Calibri"/>
                <w:b/>
                <w:sz w:val="16"/>
                <w:szCs w:val="16"/>
                <w:lang w:val="en-GB"/>
              </w:rPr>
            </w:pPr>
          </w:p>
          <w:p w14:paraId="72F83F2F" w14:textId="622997EE" w:rsidR="003C5E50" w:rsidRPr="00226134" w:rsidRDefault="003C5E50" w:rsidP="003C5E50">
            <w:pPr>
              <w:spacing w:after="0"/>
              <w:ind w:right="-992"/>
              <w:rPr>
                <w:rFonts w:cs="Calibri"/>
                <w:b/>
                <w:sz w:val="16"/>
                <w:szCs w:val="16"/>
                <w:lang w:val="en-GB"/>
              </w:rPr>
            </w:pPr>
          </w:p>
        </w:tc>
      </w:tr>
      <w:tr w:rsidR="00AB5240" w:rsidRPr="00226134" w14:paraId="7386CE8D"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73773944" w14:textId="77777777" w:rsidR="00AB5240" w:rsidRDefault="00AB5240" w:rsidP="00421EFB">
            <w:pPr>
              <w:spacing w:after="0"/>
              <w:ind w:left="-6" w:firstLine="6"/>
              <w:rPr>
                <w:rFonts w:cs="Calibri"/>
                <w:b/>
                <w:sz w:val="16"/>
                <w:szCs w:val="16"/>
                <w:lang w:val="en-GB"/>
              </w:rPr>
            </w:pPr>
            <w:r>
              <w:rPr>
                <w:rFonts w:cs="Calibri"/>
                <w:b/>
                <w:sz w:val="16"/>
                <w:szCs w:val="16"/>
                <w:lang w:val="en-GB"/>
              </w:rPr>
              <w:t>Monitoring plan:</w:t>
            </w:r>
          </w:p>
          <w:p w14:paraId="3FDCC9F5" w14:textId="0248357C" w:rsidR="00AB5240" w:rsidRPr="00FC27DC" w:rsidRDefault="00FC27DC" w:rsidP="00421EFB">
            <w:pPr>
              <w:spacing w:after="0"/>
              <w:ind w:left="-6" w:firstLine="6"/>
              <w:rPr>
                <w:rFonts w:cs="Calibri"/>
                <w:b/>
                <w:sz w:val="16"/>
                <w:szCs w:val="16"/>
                <w:lang w:val="en-GB"/>
              </w:rPr>
            </w:pPr>
            <w:r w:rsidRPr="00FC27DC">
              <w:rPr>
                <w:rFonts w:cs="Calibri"/>
                <w:bCs/>
                <w:sz w:val="16"/>
                <w:szCs w:val="16"/>
                <w:lang w:val="en-GB"/>
              </w:rPr>
              <w:t>Monitoring will</w:t>
            </w:r>
            <w:r>
              <w:rPr>
                <w:rFonts w:cs="Calibri"/>
                <w:b/>
                <w:sz w:val="16"/>
                <w:szCs w:val="16"/>
                <w:lang w:val="en-GB"/>
              </w:rPr>
              <w:t xml:space="preserve"> be based on communication with trainee’s supervisor during the traineeship</w:t>
            </w:r>
          </w:p>
          <w:p w14:paraId="143C9758" w14:textId="77777777" w:rsidR="00AB5240" w:rsidRPr="00226134" w:rsidRDefault="00AB5240" w:rsidP="00421EFB">
            <w:pPr>
              <w:spacing w:after="0"/>
              <w:ind w:left="-6" w:firstLine="6"/>
              <w:rPr>
                <w:rFonts w:cs="Calibri"/>
                <w:b/>
                <w:sz w:val="16"/>
                <w:szCs w:val="16"/>
                <w:lang w:val="en-GB"/>
              </w:rPr>
            </w:pPr>
          </w:p>
        </w:tc>
      </w:tr>
      <w:tr w:rsidR="00AB5240" w:rsidRPr="00226134" w14:paraId="5E90F1FE" w14:textId="77777777" w:rsidTr="00AB5240">
        <w:trPr>
          <w:gridAfter w:val="8"/>
          <w:wAfter w:w="10072" w:type="dxa"/>
          <w:trHeight w:val="125"/>
        </w:trPr>
        <w:tc>
          <w:tcPr>
            <w:tcW w:w="10488" w:type="dxa"/>
            <w:tcBorders>
              <w:top w:val="double" w:sz="6" w:space="0" w:color="auto"/>
              <w:left w:val="double" w:sz="6" w:space="0" w:color="auto"/>
              <w:bottom w:val="double" w:sz="6" w:space="0" w:color="auto"/>
              <w:right w:val="double" w:sz="6" w:space="0" w:color="000000"/>
            </w:tcBorders>
            <w:noWrap/>
          </w:tcPr>
          <w:p w14:paraId="15AEF149" w14:textId="77777777" w:rsidR="00AB5240" w:rsidRDefault="00AB5240" w:rsidP="00421EFB">
            <w:pPr>
              <w:spacing w:after="0"/>
              <w:ind w:right="-993"/>
              <w:rPr>
                <w:rFonts w:cs="Calibri"/>
                <w:sz w:val="16"/>
                <w:szCs w:val="16"/>
                <w:lang w:val="en-GB"/>
              </w:rPr>
            </w:pPr>
            <w:r>
              <w:rPr>
                <w:rFonts w:cs="Calibri"/>
                <w:b/>
                <w:sz w:val="16"/>
                <w:szCs w:val="16"/>
                <w:lang w:val="en-GB"/>
              </w:rPr>
              <w:t>Evaluation plan:</w:t>
            </w:r>
          </w:p>
          <w:p w14:paraId="736B2CF2" w14:textId="5FDDEAFE" w:rsidR="00AB5240" w:rsidRDefault="00FC27DC" w:rsidP="00421EFB">
            <w:pPr>
              <w:spacing w:after="0"/>
              <w:ind w:right="-993"/>
              <w:rPr>
                <w:rFonts w:cs="Arial"/>
                <w:sz w:val="16"/>
                <w:szCs w:val="16"/>
                <w:lang w:val="en-GB"/>
              </w:rPr>
            </w:pPr>
            <w:r>
              <w:rPr>
                <w:rFonts w:cs="Arial"/>
                <w:sz w:val="16"/>
                <w:szCs w:val="16"/>
                <w:lang w:val="en-GB"/>
              </w:rPr>
              <w:t>Supervisor will evalu</w:t>
            </w:r>
            <w:r w:rsidR="003B03F4">
              <w:rPr>
                <w:rFonts w:cs="Arial"/>
                <w:sz w:val="16"/>
                <w:szCs w:val="16"/>
                <w:lang w:val="en-GB"/>
              </w:rPr>
              <w:t>ate the outcomes of traineeship at the end of the traineeship based on the communication with trainee.</w:t>
            </w:r>
          </w:p>
          <w:p w14:paraId="71A83F4A" w14:textId="11802E3F" w:rsidR="00AB5240" w:rsidRPr="00226134" w:rsidRDefault="003B03F4" w:rsidP="003C5E50">
            <w:pPr>
              <w:spacing w:after="0"/>
              <w:ind w:right="-993"/>
              <w:rPr>
                <w:rFonts w:cs="Arial"/>
                <w:sz w:val="16"/>
                <w:szCs w:val="16"/>
                <w:lang w:val="en-GB"/>
              </w:rPr>
            </w:pPr>
            <w:r>
              <w:rPr>
                <w:rFonts w:cs="Arial"/>
                <w:sz w:val="16"/>
                <w:szCs w:val="16"/>
                <w:lang w:val="en-GB"/>
              </w:rPr>
              <w:t>Trainee will acquire a certificate of traineeship at the end of the training period.</w:t>
            </w:r>
          </w:p>
        </w:tc>
      </w:tr>
      <w:tr w:rsidR="00AB5240" w:rsidRPr="00226134" w14:paraId="2ADE5985" w14:textId="77777777" w:rsidTr="00AB5240">
        <w:trPr>
          <w:trHeight w:val="75"/>
        </w:trPr>
        <w:tc>
          <w:tcPr>
            <w:tcW w:w="10488" w:type="dxa"/>
            <w:tcBorders>
              <w:top w:val="double" w:sz="6" w:space="0" w:color="auto"/>
              <w:left w:val="nil"/>
              <w:bottom w:val="nil"/>
              <w:right w:val="nil"/>
            </w:tcBorders>
            <w:noWrap/>
            <w:vAlign w:val="bottom"/>
            <w:hideMark/>
          </w:tcPr>
          <w:p w14:paraId="79A07DB4"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130" w:type="dxa"/>
            <w:tcBorders>
              <w:top w:val="nil"/>
              <w:left w:val="nil"/>
              <w:bottom w:val="nil"/>
              <w:right w:val="nil"/>
            </w:tcBorders>
            <w:noWrap/>
            <w:vAlign w:val="bottom"/>
            <w:hideMark/>
          </w:tcPr>
          <w:p w14:paraId="1D0359D4"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843" w:type="dxa"/>
            <w:tcBorders>
              <w:top w:val="nil"/>
              <w:left w:val="nil"/>
              <w:bottom w:val="nil"/>
              <w:right w:val="nil"/>
            </w:tcBorders>
            <w:noWrap/>
            <w:vAlign w:val="bottom"/>
            <w:hideMark/>
          </w:tcPr>
          <w:p w14:paraId="2499E22C" w14:textId="77777777" w:rsidR="00AB5240" w:rsidRPr="00226134" w:rsidRDefault="00AB5240" w:rsidP="00421EFB">
            <w:pPr>
              <w:spacing w:after="0" w:line="240" w:lineRule="auto"/>
              <w:rPr>
                <w:rFonts w:ascii="Calibri" w:hAnsi="Calibri"/>
                <w:color w:val="000000"/>
                <w:sz w:val="16"/>
                <w:szCs w:val="16"/>
                <w:lang w:val="en-GB" w:eastAsia="en-GB"/>
              </w:rPr>
            </w:pPr>
          </w:p>
        </w:tc>
        <w:tc>
          <w:tcPr>
            <w:tcW w:w="992" w:type="dxa"/>
            <w:tcBorders>
              <w:top w:val="nil"/>
              <w:left w:val="nil"/>
              <w:bottom w:val="nil"/>
              <w:right w:val="nil"/>
            </w:tcBorders>
            <w:noWrap/>
            <w:vAlign w:val="bottom"/>
            <w:hideMark/>
          </w:tcPr>
          <w:p w14:paraId="3E8688C0"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080" w:type="dxa"/>
            <w:tcBorders>
              <w:top w:val="nil"/>
              <w:left w:val="nil"/>
              <w:bottom w:val="nil"/>
              <w:right w:val="nil"/>
            </w:tcBorders>
            <w:noWrap/>
            <w:vAlign w:val="bottom"/>
            <w:hideMark/>
          </w:tcPr>
          <w:p w14:paraId="4A3914A0" w14:textId="77777777" w:rsidR="00AB5240" w:rsidRPr="00226134" w:rsidRDefault="00AB5240" w:rsidP="00421EFB">
            <w:pPr>
              <w:spacing w:after="0" w:line="240" w:lineRule="auto"/>
              <w:rPr>
                <w:rFonts w:ascii="Calibri" w:hAnsi="Calibri"/>
                <w:color w:val="000000"/>
                <w:sz w:val="16"/>
                <w:szCs w:val="16"/>
                <w:lang w:val="en-GB" w:eastAsia="en-GB"/>
              </w:rPr>
            </w:pPr>
          </w:p>
        </w:tc>
        <w:tc>
          <w:tcPr>
            <w:tcW w:w="845" w:type="dxa"/>
            <w:tcBorders>
              <w:top w:val="nil"/>
              <w:left w:val="nil"/>
              <w:bottom w:val="nil"/>
              <w:right w:val="nil"/>
            </w:tcBorders>
            <w:noWrap/>
            <w:vAlign w:val="bottom"/>
            <w:hideMark/>
          </w:tcPr>
          <w:p w14:paraId="0AD92707"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394" w:type="dxa"/>
            <w:tcBorders>
              <w:top w:val="nil"/>
              <w:left w:val="nil"/>
              <w:bottom w:val="nil"/>
              <w:right w:val="nil"/>
            </w:tcBorders>
            <w:noWrap/>
            <w:vAlign w:val="bottom"/>
            <w:hideMark/>
          </w:tcPr>
          <w:p w14:paraId="47BAF668"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532" w:type="dxa"/>
            <w:tcBorders>
              <w:top w:val="nil"/>
              <w:left w:val="nil"/>
              <w:bottom w:val="nil"/>
              <w:right w:val="nil"/>
            </w:tcBorders>
            <w:noWrap/>
            <w:vAlign w:val="bottom"/>
            <w:hideMark/>
          </w:tcPr>
          <w:p w14:paraId="6A8BDCD4" w14:textId="77777777" w:rsidR="00AB5240" w:rsidRPr="00226134" w:rsidRDefault="00AB5240" w:rsidP="00421EFB">
            <w:pPr>
              <w:spacing w:after="0" w:line="240" w:lineRule="auto"/>
              <w:rPr>
                <w:rFonts w:ascii="Calibri" w:hAnsi="Calibri"/>
                <w:color w:val="000000"/>
                <w:sz w:val="16"/>
                <w:szCs w:val="16"/>
                <w:lang w:val="en-GB" w:eastAsia="en-GB"/>
              </w:rPr>
            </w:pPr>
          </w:p>
        </w:tc>
        <w:tc>
          <w:tcPr>
            <w:tcW w:w="1256" w:type="dxa"/>
            <w:tcBorders>
              <w:top w:val="nil"/>
              <w:left w:val="nil"/>
              <w:bottom w:val="nil"/>
              <w:right w:val="nil"/>
            </w:tcBorders>
            <w:noWrap/>
            <w:vAlign w:val="bottom"/>
            <w:hideMark/>
          </w:tcPr>
          <w:p w14:paraId="12A3A42F" w14:textId="77777777" w:rsidR="00AB5240" w:rsidRPr="00226134" w:rsidRDefault="00AB5240" w:rsidP="00421EFB">
            <w:pPr>
              <w:spacing w:after="0" w:line="240" w:lineRule="auto"/>
              <w:rPr>
                <w:rFonts w:ascii="Calibri" w:hAnsi="Calibri"/>
                <w:color w:val="000000"/>
                <w:lang w:val="en-GB" w:eastAsia="en-GB"/>
              </w:rPr>
            </w:pPr>
          </w:p>
        </w:tc>
      </w:tr>
    </w:tbl>
    <w:p w14:paraId="5A4466EE" w14:textId="77777777" w:rsidR="00AB5240" w:rsidRDefault="00AB5240" w:rsidP="005864AA">
      <w:pPr>
        <w:spacing w:after="120" w:line="240" w:lineRule="auto"/>
        <w:ind w:right="28"/>
        <w:jc w:val="center"/>
        <w:rPr>
          <w:rFonts w:ascii="Verdana" w:eastAsia="Times New Roman" w:hAnsi="Verdana" w:cs="Arial"/>
          <w:b/>
          <w:color w:val="002060"/>
          <w:sz w:val="28"/>
          <w:szCs w:val="36"/>
          <w:lang w:val="en-GB"/>
        </w:rPr>
      </w:pPr>
    </w:p>
    <w:p w14:paraId="10CC2247" w14:textId="0031430D" w:rsidR="00AB5240" w:rsidRDefault="00E26F81"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11E6D83E" w14:textId="090E9DE5"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0026C08" w14:textId="2A9E2114" w:rsidR="00605076" w:rsidRDefault="00605076" w:rsidP="007925D1">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Y="5266"/>
        <w:tblW w:w="10891" w:type="dxa"/>
        <w:tblLayout w:type="fixed"/>
        <w:tblLook w:val="04A0" w:firstRow="1" w:lastRow="0" w:firstColumn="1" w:lastColumn="0" w:noHBand="0" w:noVBand="1"/>
      </w:tblPr>
      <w:tblGrid>
        <w:gridCol w:w="2612"/>
        <w:gridCol w:w="2032"/>
        <w:gridCol w:w="2036"/>
        <w:gridCol w:w="1629"/>
        <w:gridCol w:w="1086"/>
        <w:gridCol w:w="1496"/>
      </w:tblGrid>
      <w:tr w:rsidR="002B1441" w:rsidRPr="00A049C0" w14:paraId="1F7FDF17" w14:textId="77777777" w:rsidTr="002B144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01A5A" w14:textId="77777777" w:rsidR="002B1441" w:rsidRPr="002A00C3" w:rsidRDefault="002B1441" w:rsidP="002B144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B1441" w:rsidRPr="002A00C3" w14:paraId="553C397F" w14:textId="77777777" w:rsidTr="002B144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9E3A85"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C37A687"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C7B4F"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A135F9D"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47E2AE"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4CFDC1E"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B1441" w:rsidRPr="002A00C3" w14:paraId="581A17E5" w14:textId="77777777" w:rsidTr="003C5E5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76ABBC" w14:textId="77777777"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tcPr>
          <w:p w14:paraId="524A8FEC" w14:textId="77777777" w:rsidR="002B1441" w:rsidRDefault="002B1441" w:rsidP="002B1441">
            <w:pPr>
              <w:spacing w:after="0" w:line="240" w:lineRule="auto"/>
              <w:jc w:val="center"/>
              <w:rPr>
                <w:rFonts w:ascii="Calibri" w:eastAsia="Times New Roman" w:hAnsi="Calibri" w:cs="Times New Roman"/>
                <w:color w:val="000000"/>
                <w:sz w:val="16"/>
                <w:szCs w:val="16"/>
                <w:highlight w:val="lightGray"/>
                <w:lang w:val="en-GB" w:eastAsia="en-GB"/>
              </w:rPr>
            </w:pPr>
          </w:p>
          <w:p w14:paraId="1DA702AC" w14:textId="2F971698" w:rsidR="003C5E50" w:rsidRPr="002B1441" w:rsidRDefault="003C5E50" w:rsidP="002B144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2125DA7" w14:textId="5B5D3A85"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59FA84F" w14:textId="2197E5F2"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08B3F7" w14:textId="77777777"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ECFFB2"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p>
        </w:tc>
      </w:tr>
      <w:tr w:rsidR="002B1441" w:rsidRPr="00A049C0" w14:paraId="364255CC" w14:textId="77777777" w:rsidTr="003C5E5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1389EC" w14:textId="77777777"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149F2BDB" w14:textId="152E1BA3"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3962339F" w14:textId="7F1CF69F"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0763240C" w14:textId="2DF730EE"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6A8634" w14:textId="77777777"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EAB21F3"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p>
        </w:tc>
      </w:tr>
      <w:tr w:rsidR="002B1441" w:rsidRPr="00A049C0" w14:paraId="123ADDCA" w14:textId="77777777" w:rsidTr="003C5E5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9E2557E" w14:textId="77777777"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tcPr>
          <w:p w14:paraId="6AF68934" w14:textId="31233AE4"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0EFA8635" w14:textId="4E51BF43"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3BFB4B89" w14:textId="24E70905" w:rsidR="002B1441" w:rsidRPr="002A00C3" w:rsidRDefault="002B1441" w:rsidP="002B144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28DAE06" w14:textId="77777777" w:rsidR="002B1441" w:rsidRPr="002A00C3" w:rsidRDefault="002B1441" w:rsidP="002B144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059DB33" w14:textId="77777777" w:rsidR="002B1441" w:rsidRPr="002A00C3" w:rsidRDefault="002B1441" w:rsidP="002B1441">
            <w:pPr>
              <w:spacing w:after="0" w:line="240" w:lineRule="auto"/>
              <w:jc w:val="center"/>
              <w:rPr>
                <w:rFonts w:ascii="Calibri" w:eastAsia="Times New Roman" w:hAnsi="Calibri" w:cs="Times New Roman"/>
                <w:b/>
                <w:bCs/>
                <w:color w:val="000000"/>
                <w:sz w:val="16"/>
                <w:szCs w:val="16"/>
                <w:lang w:val="en-GB" w:eastAsia="en-GB"/>
              </w:rPr>
            </w:pPr>
          </w:p>
        </w:tc>
      </w:tr>
    </w:tbl>
    <w:p w14:paraId="57F760DF" w14:textId="1AE223C9" w:rsidR="00E7669F" w:rsidRDefault="00E7669F" w:rsidP="000C610D">
      <w:pPr>
        <w:spacing w:after="120" w:line="240" w:lineRule="auto"/>
        <w:ind w:right="28"/>
        <w:jc w:val="center"/>
        <w:rPr>
          <w:rFonts w:ascii="Verdana" w:eastAsia="Times New Roman" w:hAnsi="Verdana" w:cs="Arial"/>
          <w:b/>
          <w:i/>
          <w:color w:val="002060"/>
          <w:sz w:val="24"/>
          <w:szCs w:val="36"/>
          <w:lang w:val="en-GB"/>
        </w:rPr>
      </w:pPr>
    </w:p>
    <w:p w14:paraId="7B03B04D" w14:textId="578F81E4" w:rsidR="00AB5240" w:rsidRDefault="00AB5240"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tbl>
      <w:tblPr>
        <w:tblStyle w:val="TableGrid"/>
        <w:tblW w:w="0" w:type="auto"/>
        <w:tblLook w:val="04A0" w:firstRow="1" w:lastRow="0" w:firstColumn="1" w:lastColumn="0" w:noHBand="0" w:noVBand="1"/>
      </w:tblPr>
      <w:tblGrid>
        <w:gridCol w:w="2376"/>
        <w:gridCol w:w="8306"/>
      </w:tblGrid>
      <w:tr w:rsidR="002C5273" w14:paraId="2C94067D" w14:textId="77777777" w:rsidTr="002E1905">
        <w:tc>
          <w:tcPr>
            <w:tcW w:w="2376" w:type="dxa"/>
            <w:shd w:val="clear" w:color="auto" w:fill="D5DCE4" w:themeFill="text2" w:themeFillTint="33"/>
          </w:tcPr>
          <w:p w14:paraId="2B81680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1E7FEC2C"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E477E44" w14:textId="77777777" w:rsidTr="002E1905">
        <w:tc>
          <w:tcPr>
            <w:tcW w:w="2376" w:type="dxa"/>
          </w:tcPr>
          <w:p w14:paraId="45C9AD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650725F1"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497E0D5" w14:textId="77777777" w:rsidTr="002E1905">
        <w:tc>
          <w:tcPr>
            <w:tcW w:w="2376" w:type="dxa"/>
          </w:tcPr>
          <w:p w14:paraId="77C3F03C"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32E41F77"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3888F751" w14:textId="77777777" w:rsidTr="002E1905">
        <w:tc>
          <w:tcPr>
            <w:tcW w:w="2376" w:type="dxa"/>
          </w:tcPr>
          <w:p w14:paraId="01994BF6"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7103C42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60695BCA" w14:textId="77777777" w:rsidTr="002E1905">
        <w:tc>
          <w:tcPr>
            <w:tcW w:w="2376" w:type="dxa"/>
          </w:tcPr>
          <w:p w14:paraId="7984BA0F"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73E2D745"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1539CC03" w14:textId="77777777" w:rsidTr="002E1905">
        <w:tc>
          <w:tcPr>
            <w:tcW w:w="2376" w:type="dxa"/>
          </w:tcPr>
          <w:p w14:paraId="44F3399C"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41F5FEB9"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28E5558E" w14:textId="77777777" w:rsidTr="002E1905">
        <w:trPr>
          <w:trHeight w:val="70"/>
        </w:trPr>
        <w:tc>
          <w:tcPr>
            <w:tcW w:w="2376" w:type="dxa"/>
          </w:tcPr>
          <w:p w14:paraId="65544988"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6D95DA51"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46813353" w14:textId="77777777" w:rsidTr="002E1905">
        <w:trPr>
          <w:trHeight w:val="70"/>
        </w:trPr>
        <w:tc>
          <w:tcPr>
            <w:tcW w:w="2376" w:type="dxa"/>
          </w:tcPr>
          <w:p w14:paraId="010FF37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5BFAFB22"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63D43E6" w14:textId="77777777" w:rsidTr="002E1905">
        <w:trPr>
          <w:trHeight w:val="70"/>
        </w:trPr>
        <w:tc>
          <w:tcPr>
            <w:tcW w:w="2376" w:type="dxa"/>
          </w:tcPr>
          <w:p w14:paraId="659AD2A3"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F8FAF19"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50DE21FC" w14:textId="77777777" w:rsidTr="002E1905">
        <w:trPr>
          <w:trHeight w:val="70"/>
        </w:trPr>
        <w:tc>
          <w:tcPr>
            <w:tcW w:w="2376" w:type="dxa"/>
          </w:tcPr>
          <w:p w14:paraId="3762A519"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E64820D"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w:t>
            </w:r>
            <w:r w:rsidRPr="002E1905">
              <w:rPr>
                <w:rFonts w:ascii="Calibri" w:hAnsi="Calibri" w:cs="Arial"/>
                <w:sz w:val="20"/>
                <w:szCs w:val="20"/>
                <w:lang w:val="en-GB"/>
              </w:rPr>
              <w:lastRenderedPageBreak/>
              <w:t>of the online activity.</w:t>
            </w:r>
          </w:p>
        </w:tc>
      </w:tr>
      <w:tr w:rsidR="00BA1E54" w14:paraId="3F6E86B3" w14:textId="77777777" w:rsidTr="002E1905">
        <w:trPr>
          <w:trHeight w:val="70"/>
        </w:trPr>
        <w:tc>
          <w:tcPr>
            <w:tcW w:w="2376" w:type="dxa"/>
          </w:tcPr>
          <w:p w14:paraId="74CAA4A6"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1D1B67EC"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1A9DB50B" w14:textId="77777777" w:rsidTr="002E1905">
        <w:trPr>
          <w:trHeight w:val="70"/>
        </w:trPr>
        <w:tc>
          <w:tcPr>
            <w:tcW w:w="2376" w:type="dxa"/>
          </w:tcPr>
          <w:p w14:paraId="0E326330"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3E13D9F7"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01F01F26" w14:textId="77777777" w:rsidTr="002E1905">
        <w:trPr>
          <w:trHeight w:val="70"/>
        </w:trPr>
        <w:tc>
          <w:tcPr>
            <w:tcW w:w="2376" w:type="dxa"/>
          </w:tcPr>
          <w:p w14:paraId="2F373872"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747D31E5"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501D5E92" w14:textId="77777777" w:rsidTr="002E1905">
        <w:trPr>
          <w:trHeight w:val="70"/>
        </w:trPr>
        <w:tc>
          <w:tcPr>
            <w:tcW w:w="2376" w:type="dxa"/>
          </w:tcPr>
          <w:p w14:paraId="73E79924"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16EAFDF5"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4A775303" w14:textId="77777777" w:rsidTr="002E1905">
        <w:tc>
          <w:tcPr>
            <w:tcW w:w="2376" w:type="dxa"/>
          </w:tcPr>
          <w:p w14:paraId="11C1D438"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53F71F44"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D6A361E" w14:textId="77777777" w:rsidTr="002E1905">
        <w:tc>
          <w:tcPr>
            <w:tcW w:w="2376" w:type="dxa"/>
          </w:tcPr>
          <w:p w14:paraId="5EB875B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6589400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069C5619" w14:textId="77777777" w:rsidTr="002E1905">
        <w:tc>
          <w:tcPr>
            <w:tcW w:w="2376" w:type="dxa"/>
          </w:tcPr>
          <w:p w14:paraId="4EAAF41D"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0F63E6DD"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0A500841" w14:textId="77777777" w:rsidTr="002E1905">
        <w:tc>
          <w:tcPr>
            <w:tcW w:w="2376" w:type="dxa"/>
          </w:tcPr>
          <w:p w14:paraId="369FBE32"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29505816"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0A36B583" w14:textId="77777777" w:rsidTr="002E1905">
        <w:tc>
          <w:tcPr>
            <w:tcW w:w="2376" w:type="dxa"/>
          </w:tcPr>
          <w:p w14:paraId="3B596B4C"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70761999"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7DC0FE5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6FEB1252"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282ABA3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2B2FA60E" w14:textId="77777777" w:rsidTr="002E1905">
        <w:tc>
          <w:tcPr>
            <w:tcW w:w="2376" w:type="dxa"/>
          </w:tcPr>
          <w:p w14:paraId="6FDE1AC9"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6B673B3"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10817C6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28E8E94"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420093B7"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5E022101"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8A47" w14:textId="77777777" w:rsidR="00BD5827" w:rsidRDefault="00BD5827" w:rsidP="005F66E7">
      <w:pPr>
        <w:spacing w:after="0" w:line="240" w:lineRule="auto"/>
      </w:pPr>
      <w:r>
        <w:separator/>
      </w:r>
    </w:p>
  </w:endnote>
  <w:endnote w:type="continuationSeparator" w:id="0">
    <w:p w14:paraId="3260F37D" w14:textId="77777777" w:rsidR="00BD5827" w:rsidRDefault="00BD5827" w:rsidP="005F66E7">
      <w:pPr>
        <w:spacing w:after="0" w:line="240" w:lineRule="auto"/>
      </w:pPr>
      <w:r>
        <w:continuationSeparator/>
      </w:r>
    </w:p>
  </w:endnote>
  <w:endnote w:type="continuationNotice" w:id="1">
    <w:p w14:paraId="15166AB5" w14:textId="77777777" w:rsidR="00BD5827" w:rsidRDefault="00BD5827">
      <w:pPr>
        <w:spacing w:after="0" w:line="240" w:lineRule="auto"/>
      </w:pPr>
    </w:p>
  </w:endnote>
  <w:endnote w:id="2">
    <w:p w14:paraId="35F32336" w14:textId="77777777" w:rsidR="00AB5240" w:rsidRPr="00C74BC8" w:rsidRDefault="00AB5240" w:rsidP="00AB5240">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B9AAC21" w14:textId="77777777" w:rsidR="00AB5240" w:rsidRDefault="00AB5240" w:rsidP="00AB5240">
      <w:pPr>
        <w:pStyle w:val="EndnoteText"/>
        <w:ind w:left="28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5CB2" w14:textId="77777777" w:rsidR="00BD5827" w:rsidRDefault="00BD5827" w:rsidP="005F66E7">
      <w:pPr>
        <w:spacing w:after="0" w:line="240" w:lineRule="auto"/>
      </w:pPr>
      <w:r>
        <w:separator/>
      </w:r>
    </w:p>
  </w:footnote>
  <w:footnote w:type="continuationSeparator" w:id="0">
    <w:p w14:paraId="141CE91C" w14:textId="77777777" w:rsidR="00BD5827" w:rsidRDefault="00BD5827" w:rsidP="005F66E7">
      <w:pPr>
        <w:spacing w:after="0" w:line="240" w:lineRule="auto"/>
      </w:pPr>
      <w:r>
        <w:continuationSeparator/>
      </w:r>
    </w:p>
  </w:footnote>
  <w:footnote w:type="continuationNotice" w:id="1">
    <w:p w14:paraId="6E493997" w14:textId="77777777" w:rsidR="00BD5827" w:rsidRDefault="00BD58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0E7BB0"/>
    <w:rsid w:val="00101D5D"/>
    <w:rsid w:val="001349B7"/>
    <w:rsid w:val="00134D69"/>
    <w:rsid w:val="001424A8"/>
    <w:rsid w:val="00174F66"/>
    <w:rsid w:val="00181968"/>
    <w:rsid w:val="0019347D"/>
    <w:rsid w:val="001A5F47"/>
    <w:rsid w:val="001C792B"/>
    <w:rsid w:val="001D107C"/>
    <w:rsid w:val="00236998"/>
    <w:rsid w:val="00244302"/>
    <w:rsid w:val="002B1441"/>
    <w:rsid w:val="002C5273"/>
    <w:rsid w:val="002E1905"/>
    <w:rsid w:val="00314133"/>
    <w:rsid w:val="0035116B"/>
    <w:rsid w:val="003A52FF"/>
    <w:rsid w:val="003B03F4"/>
    <w:rsid w:val="003C5E50"/>
    <w:rsid w:val="003D48C6"/>
    <w:rsid w:val="003E0C23"/>
    <w:rsid w:val="003F60C8"/>
    <w:rsid w:val="003F610A"/>
    <w:rsid w:val="00400725"/>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97222"/>
    <w:rsid w:val="006B2CC6"/>
    <w:rsid w:val="006C174F"/>
    <w:rsid w:val="007925D1"/>
    <w:rsid w:val="00793583"/>
    <w:rsid w:val="00795DCE"/>
    <w:rsid w:val="007A576D"/>
    <w:rsid w:val="007D47AF"/>
    <w:rsid w:val="00854FA2"/>
    <w:rsid w:val="008667EB"/>
    <w:rsid w:val="00866800"/>
    <w:rsid w:val="00882FED"/>
    <w:rsid w:val="0089316A"/>
    <w:rsid w:val="008B2E71"/>
    <w:rsid w:val="008D1623"/>
    <w:rsid w:val="008D38C7"/>
    <w:rsid w:val="00910DA9"/>
    <w:rsid w:val="00950658"/>
    <w:rsid w:val="009614D7"/>
    <w:rsid w:val="00973376"/>
    <w:rsid w:val="009A1854"/>
    <w:rsid w:val="009A6862"/>
    <w:rsid w:val="009B1607"/>
    <w:rsid w:val="009B606A"/>
    <w:rsid w:val="009B62FF"/>
    <w:rsid w:val="00A00F20"/>
    <w:rsid w:val="00A2227D"/>
    <w:rsid w:val="00A460C8"/>
    <w:rsid w:val="00A46919"/>
    <w:rsid w:val="00A8548D"/>
    <w:rsid w:val="00A92524"/>
    <w:rsid w:val="00AB5240"/>
    <w:rsid w:val="00AB6B93"/>
    <w:rsid w:val="00AD60CE"/>
    <w:rsid w:val="00B124E2"/>
    <w:rsid w:val="00B2276E"/>
    <w:rsid w:val="00B41409"/>
    <w:rsid w:val="00B77E44"/>
    <w:rsid w:val="00B81B82"/>
    <w:rsid w:val="00B8536F"/>
    <w:rsid w:val="00BA1E54"/>
    <w:rsid w:val="00BD28B3"/>
    <w:rsid w:val="00BD5827"/>
    <w:rsid w:val="00C26C44"/>
    <w:rsid w:val="00C31445"/>
    <w:rsid w:val="00C32A4D"/>
    <w:rsid w:val="00C700D5"/>
    <w:rsid w:val="00CB707C"/>
    <w:rsid w:val="00DD2CC6"/>
    <w:rsid w:val="00E176C0"/>
    <w:rsid w:val="00E26F81"/>
    <w:rsid w:val="00E27099"/>
    <w:rsid w:val="00E4761F"/>
    <w:rsid w:val="00E750BE"/>
    <w:rsid w:val="00E7669F"/>
    <w:rsid w:val="00E7785D"/>
    <w:rsid w:val="00EA0171"/>
    <w:rsid w:val="00EF69DC"/>
    <w:rsid w:val="00F054A1"/>
    <w:rsid w:val="00F21D59"/>
    <w:rsid w:val="00F809EB"/>
    <w:rsid w:val="00F86247"/>
    <w:rsid w:val="00FC27DC"/>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312E"/>
  <w15:docId w15:val="{AA334CE1-3637-4FFD-A7B0-C47FEFE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uiPriority w:val="99"/>
    <w:rsid w:val="005F66E7"/>
    <w:rPr>
      <w:vertAlign w:val="superscript"/>
    </w:rPr>
  </w:style>
  <w:style w:type="paragraph" w:styleId="EndnoteText">
    <w:name w:val="endnote text"/>
    <w:basedOn w:val="Normal"/>
    <w:link w:val="EndnoteTextChar"/>
    <w:uiPriority w:val="99"/>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iPriority w:val="99"/>
    <w:unhideWhenUsed/>
    <w:rsid w:val="005F66E7"/>
    <w:pPr>
      <w:spacing w:line="240" w:lineRule="auto"/>
    </w:pPr>
    <w:rPr>
      <w:sz w:val="20"/>
      <w:szCs w:val="20"/>
    </w:rPr>
  </w:style>
  <w:style w:type="character" w:customStyle="1" w:styleId="CommentTextChar">
    <w:name w:val="Comment Text Char"/>
    <w:basedOn w:val="DefaultParagraphFont"/>
    <w:link w:val="CommentText"/>
    <w:uiPriority w:val="99"/>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10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3438">
      <w:bodyDiv w:val="1"/>
      <w:marLeft w:val="0"/>
      <w:marRight w:val="0"/>
      <w:marTop w:val="0"/>
      <w:marBottom w:val="0"/>
      <w:divBdr>
        <w:top w:val="none" w:sz="0" w:space="0" w:color="auto"/>
        <w:left w:val="none" w:sz="0" w:space="0" w:color="auto"/>
        <w:bottom w:val="none" w:sz="0" w:space="0" w:color="auto"/>
        <w:right w:val="none" w:sz="0" w:space="0" w:color="auto"/>
      </w:divBdr>
    </w:div>
    <w:div w:id="9352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osikova@tuzvo.sk"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882E3-0D6D-47A7-8BC2-4EA99121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9671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Spravca</cp:lastModifiedBy>
  <cp:revision>2</cp:revision>
  <cp:lastPrinted>2021-02-09T14:36:00Z</cp:lastPrinted>
  <dcterms:created xsi:type="dcterms:W3CDTF">2022-05-18T09:08:00Z</dcterms:created>
  <dcterms:modified xsi:type="dcterms:W3CDTF">2022-05-18T09:08:00Z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